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54" w:rsidRDefault="00144C54" w:rsidP="00144C54">
      <w:pPr>
        <w:autoSpaceDE w:val="0"/>
        <w:autoSpaceDN w:val="0"/>
        <w:adjustRightInd w:val="0"/>
        <w:spacing w:after="0" w:line="240" w:lineRule="auto"/>
        <w:rPr>
          <w:rFonts w:ascii="Arial" w:hAnsi="Arial" w:cs="Arial"/>
          <w:i/>
          <w:iCs/>
          <w:sz w:val="18"/>
          <w:szCs w:val="18"/>
          <w:lang w:val="es-PY"/>
        </w:rPr>
      </w:pPr>
    </w:p>
    <w:p w:rsidR="00144C54" w:rsidRDefault="00144C54" w:rsidP="00144C54">
      <w:pPr>
        <w:autoSpaceDE w:val="0"/>
        <w:autoSpaceDN w:val="0"/>
        <w:adjustRightInd w:val="0"/>
        <w:spacing w:after="0" w:line="240" w:lineRule="auto"/>
        <w:rPr>
          <w:rFonts w:ascii="Arial" w:hAnsi="Arial" w:cs="Arial"/>
          <w:i/>
          <w:iCs/>
          <w:sz w:val="18"/>
          <w:szCs w:val="18"/>
          <w:lang w:val="es-PY"/>
        </w:rPr>
      </w:pPr>
    </w:p>
    <w:p w:rsidR="00144C54" w:rsidRDefault="00144C54" w:rsidP="00144C54">
      <w:pPr>
        <w:autoSpaceDE w:val="0"/>
        <w:autoSpaceDN w:val="0"/>
        <w:adjustRightInd w:val="0"/>
        <w:spacing w:after="0" w:line="240" w:lineRule="auto"/>
        <w:rPr>
          <w:rFonts w:ascii="Arial" w:hAnsi="Arial" w:cs="Arial"/>
          <w:i/>
          <w:iCs/>
          <w:sz w:val="18"/>
          <w:szCs w:val="18"/>
          <w:lang w:val="es-PY"/>
        </w:rPr>
      </w:pPr>
    </w:p>
    <w:p w:rsidR="00144C54" w:rsidRDefault="00144C54" w:rsidP="00144C54">
      <w:pPr>
        <w:autoSpaceDE w:val="0"/>
        <w:autoSpaceDN w:val="0"/>
        <w:adjustRightInd w:val="0"/>
        <w:spacing w:after="0" w:line="240" w:lineRule="auto"/>
        <w:rPr>
          <w:rFonts w:ascii="Arial" w:hAnsi="Arial" w:cs="Arial"/>
          <w:i/>
          <w:iCs/>
          <w:sz w:val="18"/>
          <w:szCs w:val="18"/>
          <w:lang w:val="es-PY"/>
        </w:rPr>
      </w:pPr>
    </w:p>
    <w:p w:rsidR="00144C54" w:rsidRDefault="00144C54" w:rsidP="00144C54">
      <w:pPr>
        <w:autoSpaceDE w:val="0"/>
        <w:autoSpaceDN w:val="0"/>
        <w:adjustRightInd w:val="0"/>
        <w:spacing w:after="0" w:line="240" w:lineRule="auto"/>
        <w:rPr>
          <w:rFonts w:ascii="Arial" w:hAnsi="Arial" w:cs="Arial"/>
          <w:i/>
          <w:iCs/>
          <w:sz w:val="18"/>
          <w:szCs w:val="18"/>
          <w:lang w:val="es-PY"/>
        </w:rPr>
      </w:pPr>
    </w:p>
    <w:p w:rsidR="00144C54" w:rsidRDefault="00144C54" w:rsidP="00144C54">
      <w:pPr>
        <w:autoSpaceDE w:val="0"/>
        <w:autoSpaceDN w:val="0"/>
        <w:adjustRightInd w:val="0"/>
        <w:spacing w:after="0" w:line="240" w:lineRule="auto"/>
        <w:rPr>
          <w:rFonts w:ascii="Arial" w:hAnsi="Arial" w:cs="Arial"/>
          <w:i/>
          <w:iCs/>
          <w:sz w:val="18"/>
          <w:szCs w:val="18"/>
          <w:lang w:val="es-PY"/>
        </w:rPr>
      </w:pPr>
    </w:p>
    <w:p w:rsidR="00144C54" w:rsidRPr="00576C99" w:rsidRDefault="00144C54" w:rsidP="00144C54">
      <w:pPr>
        <w:autoSpaceDE w:val="0"/>
        <w:autoSpaceDN w:val="0"/>
        <w:adjustRightInd w:val="0"/>
        <w:spacing w:after="0" w:line="240" w:lineRule="auto"/>
        <w:rPr>
          <w:rFonts w:cs="Arial"/>
          <w:i/>
          <w:iCs/>
          <w:sz w:val="20"/>
          <w:szCs w:val="20"/>
          <w:lang w:val="es-PY"/>
        </w:rPr>
      </w:pPr>
      <w:r w:rsidRPr="00576C99">
        <w:rPr>
          <w:rFonts w:cs="Times New Roman"/>
          <w:b/>
          <w:bCs/>
          <w:sz w:val="20"/>
          <w:szCs w:val="20"/>
          <w:lang w:val="es-PY"/>
        </w:rPr>
        <w:t xml:space="preserve">DIAGNÓSTICO INSTITUCIONAL DE LA REPÚBLICA DEL PARAGUAY </w:t>
      </w:r>
      <w:r w:rsidRPr="00576C99">
        <w:rPr>
          <w:b/>
          <w:bCs/>
          <w:sz w:val="20"/>
          <w:szCs w:val="20"/>
          <w:lang w:val="es-PY"/>
        </w:rPr>
        <w:t xml:space="preserve"> </w:t>
      </w:r>
      <w:r w:rsidRPr="00576C99">
        <w:rPr>
          <w:rFonts w:cs="Times New Roman"/>
          <w:sz w:val="20"/>
          <w:szCs w:val="20"/>
          <w:lang w:val="es-PY"/>
        </w:rPr>
        <w:t>Un estudio realizado en el marco del Proyecto LAGNIKS (Red y Sistema Latinoamericanos de Información y Conocimiento sobre Gobernabilidad</w:t>
      </w:r>
      <w:r w:rsidR="00B8647B" w:rsidRPr="00576C99">
        <w:rPr>
          <w:rFonts w:cs="Times New Roman"/>
          <w:sz w:val="20"/>
          <w:szCs w:val="20"/>
          <w:lang w:val="es-PY"/>
        </w:rPr>
        <w:t xml:space="preserve">  - 2002</w:t>
      </w:r>
    </w:p>
    <w:p w:rsidR="00144C54" w:rsidRPr="00576C99" w:rsidRDefault="00144C54" w:rsidP="00144C54">
      <w:pPr>
        <w:autoSpaceDE w:val="0"/>
        <w:autoSpaceDN w:val="0"/>
        <w:adjustRightInd w:val="0"/>
        <w:spacing w:after="0" w:line="240" w:lineRule="auto"/>
        <w:rPr>
          <w:rFonts w:cs="Arial"/>
          <w:b/>
          <w:i/>
          <w:iCs/>
          <w:sz w:val="20"/>
          <w:szCs w:val="20"/>
          <w:lang w:val="es-PY"/>
        </w:rPr>
      </w:pPr>
    </w:p>
    <w:p w:rsidR="00144C54" w:rsidRPr="00576C99" w:rsidRDefault="00144C54" w:rsidP="00144C54">
      <w:pPr>
        <w:autoSpaceDE w:val="0"/>
        <w:autoSpaceDN w:val="0"/>
        <w:adjustRightInd w:val="0"/>
        <w:spacing w:after="0" w:line="240" w:lineRule="auto"/>
        <w:rPr>
          <w:rFonts w:cs="Arial"/>
          <w:b/>
          <w:i/>
          <w:iCs/>
          <w:sz w:val="20"/>
          <w:szCs w:val="20"/>
          <w:lang w:val="es-PY"/>
        </w:rPr>
      </w:pPr>
      <w:r w:rsidRPr="00576C99">
        <w:rPr>
          <w:rFonts w:cs="Arial"/>
          <w:b/>
          <w:i/>
          <w:iCs/>
          <w:sz w:val="20"/>
          <w:szCs w:val="20"/>
          <w:lang w:val="es-PY"/>
        </w:rPr>
        <w:t>2.1.1.3. Libertad de expresión</w:t>
      </w:r>
    </w:p>
    <w:p w:rsidR="00144C54" w:rsidRPr="00576C99" w:rsidRDefault="00144C54" w:rsidP="00144C54">
      <w:pPr>
        <w:autoSpaceDE w:val="0"/>
        <w:autoSpaceDN w:val="0"/>
        <w:adjustRightInd w:val="0"/>
        <w:spacing w:after="0" w:line="240" w:lineRule="auto"/>
        <w:rPr>
          <w:rFonts w:cs="Arial"/>
          <w:sz w:val="20"/>
          <w:szCs w:val="20"/>
          <w:lang w:val="es-PY"/>
        </w:rPr>
      </w:pPr>
      <w:r w:rsidRPr="00576C99">
        <w:rPr>
          <w:rFonts w:cs="Arial"/>
          <w:sz w:val="20"/>
          <w:szCs w:val="20"/>
          <w:lang w:val="es-PY"/>
        </w:rPr>
        <w:t>La Constitución paraguaya reconoce la libertad de expresión (art. 26), la libertad de reunión y manifestación (art. 32), y la libertad de prensa (art. 26).</w:t>
      </w:r>
    </w:p>
    <w:p w:rsidR="00144C54" w:rsidRPr="00576C99" w:rsidRDefault="00144C54" w:rsidP="00144C54">
      <w:pPr>
        <w:autoSpaceDE w:val="0"/>
        <w:autoSpaceDN w:val="0"/>
        <w:adjustRightInd w:val="0"/>
        <w:spacing w:after="0" w:line="240" w:lineRule="auto"/>
        <w:rPr>
          <w:rFonts w:cs="Arial"/>
          <w:sz w:val="20"/>
          <w:szCs w:val="20"/>
          <w:lang w:val="es-PY"/>
        </w:rPr>
      </w:pPr>
      <w:r w:rsidRPr="00576C99">
        <w:rPr>
          <w:rFonts w:cs="Arial"/>
          <w:color w:val="C00000"/>
          <w:sz w:val="20"/>
          <w:szCs w:val="20"/>
          <w:u w:val="single"/>
          <w:lang w:val="es-PY"/>
        </w:rPr>
        <w:t>En el caso de la libertad de prensa se establece un condicionamiento que puede llegar a restringir, en la práctica, el ejercicio de este derecho</w:t>
      </w:r>
      <w:r w:rsidRPr="00576C99">
        <w:rPr>
          <w:rFonts w:cs="Arial"/>
          <w:sz w:val="20"/>
          <w:szCs w:val="20"/>
          <w:lang w:val="es-PY"/>
        </w:rPr>
        <w:t xml:space="preserve">. Se trata de la condición de </w:t>
      </w:r>
      <w:r w:rsidRPr="00576C99">
        <w:rPr>
          <w:rFonts w:cs="Arial"/>
          <w:color w:val="C00000"/>
          <w:sz w:val="20"/>
          <w:szCs w:val="20"/>
          <w:u w:val="single"/>
          <w:lang w:val="es-PY"/>
        </w:rPr>
        <w:t>responsabilidad para la dirección de los medios de comunicación (art. 27) y para la información que proporcionan estos medios (art. 28).</w:t>
      </w:r>
      <w:r w:rsidRPr="00576C99">
        <w:rPr>
          <w:rFonts w:cs="Arial"/>
          <w:sz w:val="20"/>
          <w:szCs w:val="20"/>
          <w:lang w:val="es-PY"/>
        </w:rPr>
        <w:t xml:space="preserve"> De todas formas, este condicionamiento no supone, en la práctica, una limitación importante de la actividad periodística. No hay más que fijarse en la dureza de las acusaciones que dirige la prensa a la clase política y, en especial, al presidente de la República o en la continua denuncia de casos de corrupción.</w:t>
      </w:r>
    </w:p>
    <w:p w:rsidR="00B8647B" w:rsidRPr="00576C99" w:rsidRDefault="00144C54" w:rsidP="00144C54">
      <w:pPr>
        <w:autoSpaceDE w:val="0"/>
        <w:autoSpaceDN w:val="0"/>
        <w:adjustRightInd w:val="0"/>
        <w:spacing w:after="0" w:line="240" w:lineRule="auto"/>
        <w:rPr>
          <w:rFonts w:cs="Arial"/>
          <w:sz w:val="20"/>
          <w:szCs w:val="20"/>
          <w:lang w:val="es-PY"/>
        </w:rPr>
      </w:pPr>
      <w:r w:rsidRPr="00576C99">
        <w:rPr>
          <w:rFonts w:cs="Arial"/>
          <w:color w:val="C00000"/>
          <w:sz w:val="20"/>
          <w:szCs w:val="20"/>
          <w:u w:val="single"/>
          <w:lang w:val="es-PY"/>
        </w:rPr>
        <w:t>Ha sido la legislación posterior la que ha introducido restricciones significativas a la libertad de prensa, especialmente la ley de Transparencia  Administrativa (Ley 1728, de 28 de junio del 2001</w:t>
      </w:r>
      <w:r w:rsidRPr="00576C99">
        <w:rPr>
          <w:rFonts w:cs="Arial"/>
          <w:sz w:val="20"/>
          <w:szCs w:val="20"/>
          <w:lang w:val="es-PY"/>
        </w:rPr>
        <w:t>). El nombre con que popularmente es conocida esta ley, Ley Mordaza, ya evidencia cómo algunos de sus diversos artículos constriñen la libertad de prensa y el derecho a recibir información pública</w:t>
      </w:r>
      <w:r w:rsidR="00B8647B" w:rsidRPr="00576C99">
        <w:rPr>
          <w:rFonts w:cs="Arial"/>
          <w:sz w:val="20"/>
          <w:szCs w:val="20"/>
          <w:lang w:val="es-PY"/>
        </w:rPr>
        <w:t xml:space="preserve"> </w:t>
      </w:r>
    </w:p>
    <w:p w:rsidR="00B8647B" w:rsidRPr="00576C99" w:rsidRDefault="00144C54" w:rsidP="00144C54">
      <w:pPr>
        <w:autoSpaceDE w:val="0"/>
        <w:autoSpaceDN w:val="0"/>
        <w:adjustRightInd w:val="0"/>
        <w:spacing w:after="0" w:line="240" w:lineRule="auto"/>
        <w:rPr>
          <w:rFonts w:cs="Arial"/>
          <w:sz w:val="20"/>
          <w:szCs w:val="20"/>
          <w:lang w:val="es-PY"/>
        </w:rPr>
      </w:pPr>
      <w:r w:rsidRPr="00576C99">
        <w:rPr>
          <w:rFonts w:cs="Arial"/>
          <w:sz w:val="20"/>
          <w:szCs w:val="20"/>
          <w:lang w:val="es-PY"/>
        </w:rPr>
        <w:t xml:space="preserve">17. Inicialmente, esta ley </w:t>
      </w:r>
      <w:r w:rsidRPr="00576C99">
        <w:rPr>
          <w:rFonts w:cs="Arial"/>
          <w:color w:val="C00000"/>
          <w:sz w:val="20"/>
          <w:szCs w:val="20"/>
          <w:u w:val="single"/>
          <w:lang w:val="es-PY"/>
        </w:rPr>
        <w:t>perseguía el objetivo de hacer efectivo el acceso a la información pública</w:t>
      </w:r>
      <w:r w:rsidRPr="00576C99">
        <w:rPr>
          <w:rFonts w:cs="Arial"/>
          <w:sz w:val="20"/>
          <w:szCs w:val="20"/>
          <w:lang w:val="es-PY"/>
        </w:rPr>
        <w:t>. Sin embargo, el texto final incorporó una serie de normas restrictivas de ese derecho. En los últimos meses varios periódicos han interpuesto recursos de inconstitucionalidad al respecto, lo que ha llevado a que, primero, la Corte Suprema suspendiese los efectos de varios artículos de la ley y a que, finalmente, el presidente de la República derogase la Ley Mordaza a través de la Ley 1779 de 2001</w:t>
      </w:r>
      <w:r w:rsidR="00B8647B" w:rsidRPr="00576C99">
        <w:rPr>
          <w:rFonts w:cs="Arial"/>
          <w:sz w:val="20"/>
          <w:szCs w:val="20"/>
          <w:lang w:val="es-PY"/>
        </w:rPr>
        <w:t xml:space="preserve"> </w:t>
      </w:r>
    </w:p>
    <w:p w:rsidR="00144C54" w:rsidRPr="00576C99" w:rsidRDefault="00144C54" w:rsidP="00144C54">
      <w:pPr>
        <w:autoSpaceDE w:val="0"/>
        <w:autoSpaceDN w:val="0"/>
        <w:adjustRightInd w:val="0"/>
        <w:spacing w:after="0" w:line="240" w:lineRule="auto"/>
        <w:rPr>
          <w:rFonts w:cs="Arial"/>
          <w:b/>
          <w:color w:val="C00000"/>
          <w:sz w:val="20"/>
          <w:szCs w:val="20"/>
          <w:lang w:val="es-PY"/>
        </w:rPr>
      </w:pPr>
      <w:r w:rsidRPr="00576C99">
        <w:rPr>
          <w:rFonts w:cs="Arial"/>
          <w:sz w:val="20"/>
          <w:szCs w:val="20"/>
          <w:lang w:val="es-PY"/>
        </w:rPr>
        <w:t xml:space="preserve">18. Si bien esta ley ha sido derogada, persiste el motivo por el cual se inició su discusión en el Congreso, a saber, </w:t>
      </w:r>
      <w:r w:rsidRPr="00576C99">
        <w:rPr>
          <w:rFonts w:cs="Arial"/>
          <w:color w:val="C00000"/>
          <w:sz w:val="20"/>
          <w:szCs w:val="20"/>
          <w:u w:val="single"/>
          <w:lang w:val="es-PY"/>
        </w:rPr>
        <w:t>la ausencia de mecanismos legales, plazos y procedimientos que obliguen a los funcionarios públicos a transparentar la documentación del Estado y que permitan a los ciudadanos ejercer el derecho al acceso a información pública</w:t>
      </w:r>
      <w:r w:rsidRPr="00576C99">
        <w:rPr>
          <w:rFonts w:cs="Arial"/>
          <w:b/>
          <w:color w:val="C00000"/>
          <w:sz w:val="20"/>
          <w:szCs w:val="20"/>
          <w:lang w:val="es-PY"/>
        </w:rPr>
        <w:t>.</w:t>
      </w:r>
    </w:p>
    <w:p w:rsidR="00144C54" w:rsidRPr="00576C99" w:rsidRDefault="00144C54" w:rsidP="00144C54">
      <w:pPr>
        <w:autoSpaceDE w:val="0"/>
        <w:autoSpaceDN w:val="0"/>
        <w:adjustRightInd w:val="0"/>
        <w:spacing w:after="0" w:line="240" w:lineRule="auto"/>
        <w:rPr>
          <w:rFonts w:cs="Arial"/>
          <w:i/>
          <w:iCs/>
          <w:sz w:val="20"/>
          <w:szCs w:val="20"/>
          <w:lang w:val="es-PY"/>
        </w:rPr>
      </w:pPr>
      <w:r w:rsidRPr="00576C99">
        <w:rPr>
          <w:rFonts w:cs="Arial"/>
          <w:i/>
          <w:iCs/>
          <w:sz w:val="20"/>
          <w:szCs w:val="20"/>
          <w:lang w:val="es-PY"/>
        </w:rPr>
        <w:t>2.1.1.4. Acceso a fuentes alternativas de información</w:t>
      </w:r>
    </w:p>
    <w:p w:rsidR="00144C54" w:rsidRPr="00576C99" w:rsidRDefault="00144C54" w:rsidP="00144C54">
      <w:pPr>
        <w:autoSpaceDE w:val="0"/>
        <w:autoSpaceDN w:val="0"/>
        <w:adjustRightInd w:val="0"/>
        <w:spacing w:after="0" w:line="240" w:lineRule="auto"/>
        <w:rPr>
          <w:rFonts w:cs="Arial"/>
          <w:sz w:val="20"/>
          <w:szCs w:val="20"/>
          <w:lang w:val="es-PY"/>
        </w:rPr>
      </w:pPr>
      <w:r w:rsidRPr="00576C99">
        <w:rPr>
          <w:rFonts w:cs="Arial"/>
          <w:sz w:val="20"/>
          <w:szCs w:val="20"/>
          <w:lang w:val="es-PY"/>
        </w:rPr>
        <w:t xml:space="preserve">Otro requerimiento institucional es que </w:t>
      </w:r>
      <w:r w:rsidRPr="00576C99">
        <w:rPr>
          <w:rFonts w:cs="Arial"/>
          <w:color w:val="C00000"/>
          <w:sz w:val="20"/>
          <w:szCs w:val="20"/>
          <w:u w:val="single"/>
          <w:lang w:val="es-PY"/>
        </w:rPr>
        <w:t>los ciudadanos tengan la posibilidad de acceder a fuentes de información alternativas e independientes de otros ciudadanos, expertos, periódicos, libros</w:t>
      </w:r>
      <w:r w:rsidRPr="00576C99">
        <w:rPr>
          <w:rFonts w:cs="Arial"/>
          <w:sz w:val="20"/>
          <w:szCs w:val="20"/>
          <w:lang w:val="es-PY"/>
        </w:rPr>
        <w:t>, etc. En relación con esto, la Constitución paraguaya garantiza el pluralismo informativo y prohíbe cualquier práctica que obstruya la libre circulación, distribución y venta de publicaciones de todo tipo (art. 27).</w:t>
      </w:r>
    </w:p>
    <w:p w:rsidR="00144C54" w:rsidRPr="00576C99" w:rsidRDefault="00144C54" w:rsidP="00144C54">
      <w:pPr>
        <w:autoSpaceDE w:val="0"/>
        <w:autoSpaceDN w:val="0"/>
        <w:adjustRightInd w:val="0"/>
        <w:spacing w:after="0" w:line="240" w:lineRule="auto"/>
        <w:rPr>
          <w:rFonts w:cs="Arial"/>
          <w:sz w:val="20"/>
          <w:szCs w:val="20"/>
          <w:lang w:val="es-PY"/>
        </w:rPr>
      </w:pPr>
      <w:r w:rsidRPr="00576C99">
        <w:rPr>
          <w:rFonts w:cs="Arial"/>
          <w:sz w:val="20"/>
          <w:szCs w:val="20"/>
          <w:lang w:val="es-PY"/>
        </w:rPr>
        <w:t xml:space="preserve">Además del reconocimiento del pluralismo informativo, una cuestión importante que cabe examinar es el grado de independencia de que gozan los distintos medios de comunicación. La información proporcionada por algunos de los entrevistados confirma la conclusión del informe </w:t>
      </w:r>
      <w:proofErr w:type="spellStart"/>
      <w:r w:rsidRPr="00576C99">
        <w:rPr>
          <w:rFonts w:cs="Arial"/>
          <w:i/>
          <w:iCs/>
          <w:sz w:val="20"/>
          <w:szCs w:val="20"/>
          <w:lang w:val="es-PY"/>
        </w:rPr>
        <w:t>Press</w:t>
      </w:r>
      <w:proofErr w:type="spellEnd"/>
      <w:r w:rsidRPr="00576C99">
        <w:rPr>
          <w:rFonts w:cs="Arial"/>
          <w:i/>
          <w:iCs/>
          <w:sz w:val="20"/>
          <w:szCs w:val="20"/>
          <w:lang w:val="es-PY"/>
        </w:rPr>
        <w:t xml:space="preserve"> </w:t>
      </w:r>
      <w:proofErr w:type="spellStart"/>
      <w:r w:rsidRPr="00576C99">
        <w:rPr>
          <w:rFonts w:cs="Arial"/>
          <w:i/>
          <w:iCs/>
          <w:sz w:val="20"/>
          <w:szCs w:val="20"/>
          <w:lang w:val="es-PY"/>
        </w:rPr>
        <w:t>Feedom</w:t>
      </w:r>
      <w:proofErr w:type="spellEnd"/>
      <w:r w:rsidRPr="00576C99">
        <w:rPr>
          <w:rFonts w:cs="Arial"/>
          <w:i/>
          <w:iCs/>
          <w:sz w:val="20"/>
          <w:szCs w:val="20"/>
          <w:lang w:val="es-PY"/>
        </w:rPr>
        <w:t xml:space="preserve"> </w:t>
      </w:r>
      <w:proofErr w:type="spellStart"/>
      <w:r w:rsidRPr="00576C99">
        <w:rPr>
          <w:rFonts w:cs="Arial"/>
          <w:i/>
          <w:iCs/>
          <w:sz w:val="20"/>
          <w:szCs w:val="20"/>
          <w:lang w:val="es-PY"/>
        </w:rPr>
        <w:t>Survey</w:t>
      </w:r>
      <w:proofErr w:type="spellEnd"/>
      <w:r w:rsidRPr="00576C99">
        <w:rPr>
          <w:rFonts w:cs="Arial"/>
          <w:i/>
          <w:iCs/>
          <w:sz w:val="20"/>
          <w:szCs w:val="20"/>
          <w:lang w:val="es-PY"/>
        </w:rPr>
        <w:t xml:space="preserve"> 2001 </w:t>
      </w:r>
      <w:r w:rsidRPr="00576C99">
        <w:rPr>
          <w:rFonts w:cs="Arial"/>
          <w:sz w:val="20"/>
          <w:szCs w:val="20"/>
          <w:lang w:val="es-PY"/>
        </w:rPr>
        <w:t>(</w:t>
      </w:r>
      <w:proofErr w:type="spellStart"/>
      <w:r w:rsidRPr="00576C99">
        <w:rPr>
          <w:rFonts w:cs="Arial"/>
          <w:sz w:val="20"/>
          <w:szCs w:val="20"/>
          <w:lang w:val="es-PY"/>
        </w:rPr>
        <w:t>Freedom</w:t>
      </w:r>
      <w:proofErr w:type="spellEnd"/>
      <w:r w:rsidRPr="00576C99">
        <w:rPr>
          <w:rFonts w:cs="Arial"/>
          <w:sz w:val="20"/>
          <w:szCs w:val="20"/>
          <w:lang w:val="es-PY"/>
        </w:rPr>
        <w:t xml:space="preserve"> </w:t>
      </w:r>
      <w:proofErr w:type="spellStart"/>
      <w:r w:rsidRPr="00576C99">
        <w:rPr>
          <w:rFonts w:cs="Arial"/>
          <w:sz w:val="20"/>
          <w:szCs w:val="20"/>
          <w:lang w:val="es-PY"/>
        </w:rPr>
        <w:t>House</w:t>
      </w:r>
      <w:proofErr w:type="spellEnd"/>
      <w:r w:rsidRPr="00576C99">
        <w:rPr>
          <w:rFonts w:cs="Arial"/>
          <w:sz w:val="20"/>
          <w:szCs w:val="20"/>
          <w:lang w:val="es-PY"/>
        </w:rPr>
        <w:t xml:space="preserve">, 2001) </w:t>
      </w:r>
      <w:r w:rsidRPr="00576C99">
        <w:rPr>
          <w:rFonts w:cs="Arial"/>
          <w:b/>
          <w:color w:val="C00000"/>
          <w:sz w:val="20"/>
          <w:szCs w:val="20"/>
          <w:lang w:val="es-PY"/>
        </w:rPr>
        <w:t>de que no existe una independencia real de los medios de comunicación paraguayos; éstos se hallan estrechamente vinculados a partidos, facciones y mundo de los negocios</w:t>
      </w:r>
      <w:r w:rsidRPr="00576C99">
        <w:rPr>
          <w:rFonts w:cs="Arial"/>
          <w:sz w:val="20"/>
          <w:szCs w:val="20"/>
          <w:lang w:val="es-PY"/>
        </w:rPr>
        <w:t xml:space="preserve">. </w:t>
      </w:r>
      <w:r w:rsidRPr="00576C99">
        <w:rPr>
          <w:rFonts w:cs="Arial"/>
          <w:color w:val="C00000"/>
          <w:sz w:val="20"/>
          <w:szCs w:val="20"/>
          <w:lang w:val="es-PY"/>
        </w:rPr>
        <w:t>Uno de los entrevistados más críticos sobre este asunto apuntaba que “los medios –paraguayos- se comportan de forma irresponsable, están quebrados y en situación de ser comprados por cualquier sector o grupo de interés</w:t>
      </w:r>
      <w:r w:rsidRPr="00576C99">
        <w:rPr>
          <w:rFonts w:cs="Arial"/>
          <w:sz w:val="20"/>
          <w:szCs w:val="20"/>
          <w:lang w:val="es-PY"/>
        </w:rPr>
        <w:t>”.</w:t>
      </w:r>
    </w:p>
    <w:p w:rsidR="00B8647B" w:rsidRPr="00576C99" w:rsidRDefault="00144C54" w:rsidP="00144C54">
      <w:pPr>
        <w:autoSpaceDE w:val="0"/>
        <w:autoSpaceDN w:val="0"/>
        <w:adjustRightInd w:val="0"/>
        <w:spacing w:after="0" w:line="240" w:lineRule="auto"/>
        <w:rPr>
          <w:rFonts w:cs="Arial"/>
          <w:sz w:val="20"/>
          <w:szCs w:val="20"/>
          <w:lang w:val="es-PY"/>
        </w:rPr>
      </w:pPr>
      <w:r w:rsidRPr="00576C99">
        <w:rPr>
          <w:rFonts w:cs="Arial"/>
          <w:sz w:val="20"/>
          <w:szCs w:val="20"/>
          <w:lang w:val="es-PY"/>
        </w:rPr>
        <w:t xml:space="preserve">Sería necesario disponer de información más precisa sobre las vinculaciones de los medios de comunicación con intereses sociales, económicos y políticos, sobre todo, con estos últimos; por ejemplo, de cómo se conceden las licencias para establecer medios de comunicación. La única información con la que contamos procede, de nuevo, del informe </w:t>
      </w:r>
      <w:proofErr w:type="spellStart"/>
      <w:r w:rsidRPr="00576C99">
        <w:rPr>
          <w:rFonts w:cs="Arial"/>
          <w:i/>
          <w:iCs/>
          <w:sz w:val="20"/>
          <w:szCs w:val="20"/>
          <w:lang w:val="es-PY"/>
        </w:rPr>
        <w:t>Press</w:t>
      </w:r>
      <w:proofErr w:type="spellEnd"/>
      <w:r w:rsidRPr="00576C99">
        <w:rPr>
          <w:rFonts w:cs="Arial"/>
          <w:i/>
          <w:iCs/>
          <w:sz w:val="20"/>
          <w:szCs w:val="20"/>
          <w:lang w:val="es-PY"/>
        </w:rPr>
        <w:t xml:space="preserve"> </w:t>
      </w:r>
      <w:proofErr w:type="spellStart"/>
      <w:r w:rsidRPr="00576C99">
        <w:rPr>
          <w:rFonts w:cs="Arial"/>
          <w:i/>
          <w:iCs/>
          <w:sz w:val="20"/>
          <w:szCs w:val="20"/>
          <w:lang w:val="es-PY"/>
        </w:rPr>
        <w:t>Freedom</w:t>
      </w:r>
      <w:proofErr w:type="spellEnd"/>
      <w:r w:rsidRPr="00576C99">
        <w:rPr>
          <w:rFonts w:cs="Arial"/>
          <w:i/>
          <w:iCs/>
          <w:sz w:val="20"/>
          <w:szCs w:val="20"/>
          <w:lang w:val="es-PY"/>
        </w:rPr>
        <w:t xml:space="preserve"> </w:t>
      </w:r>
      <w:proofErr w:type="spellStart"/>
      <w:r w:rsidRPr="00576C99">
        <w:rPr>
          <w:rFonts w:cs="Arial"/>
          <w:i/>
          <w:iCs/>
          <w:sz w:val="20"/>
          <w:szCs w:val="20"/>
          <w:lang w:val="es-PY"/>
        </w:rPr>
        <w:t>Survey</w:t>
      </w:r>
      <w:proofErr w:type="spellEnd"/>
      <w:r w:rsidRPr="00576C99">
        <w:rPr>
          <w:rFonts w:cs="Arial"/>
          <w:i/>
          <w:iCs/>
          <w:sz w:val="20"/>
          <w:szCs w:val="20"/>
          <w:lang w:val="es-PY"/>
        </w:rPr>
        <w:t xml:space="preserve"> 2001 </w:t>
      </w:r>
      <w:r w:rsidRPr="00576C99">
        <w:rPr>
          <w:rFonts w:cs="Arial"/>
          <w:sz w:val="20"/>
          <w:szCs w:val="20"/>
          <w:lang w:val="es-PY"/>
        </w:rPr>
        <w:t>e indica la alta politización que preside la concesión de frecuencias radiofónicas. En el mencionado informe se denuncian también los ataques e intimidaciones que, con frecuencia, reciben los periodistas que investigan</w:t>
      </w:r>
      <w:r w:rsidR="00B8647B" w:rsidRPr="00576C99">
        <w:rPr>
          <w:rFonts w:cs="Arial"/>
          <w:sz w:val="20"/>
          <w:szCs w:val="20"/>
          <w:lang w:val="es-PY"/>
        </w:rPr>
        <w:t xml:space="preserve"> </w:t>
      </w:r>
      <w:r w:rsidRPr="00576C99">
        <w:rPr>
          <w:rFonts w:cs="Arial"/>
          <w:sz w:val="20"/>
          <w:szCs w:val="20"/>
          <w:lang w:val="es-PY"/>
        </w:rPr>
        <w:t>casos de corrupción y los que cubren eventos como huelgas y protestas por parte de las fuerzas de seguridad.</w:t>
      </w:r>
    </w:p>
    <w:p w:rsidR="00144C54" w:rsidRPr="00576C99" w:rsidRDefault="00144C54" w:rsidP="00576C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2"/>
          <w:szCs w:val="16"/>
          <w:lang w:val="es-PY"/>
        </w:rPr>
      </w:pPr>
      <w:r w:rsidRPr="00576C99">
        <w:rPr>
          <w:rFonts w:ascii="Arial" w:hAnsi="Arial" w:cs="Arial"/>
          <w:sz w:val="12"/>
          <w:szCs w:val="16"/>
          <w:lang w:val="es-PY"/>
        </w:rPr>
        <w:t xml:space="preserve">16 </w:t>
      </w:r>
      <w:r w:rsidR="00B8647B" w:rsidRPr="00576C99">
        <w:rPr>
          <w:rFonts w:ascii="Arial" w:hAnsi="Arial" w:cs="Arial"/>
          <w:sz w:val="12"/>
          <w:szCs w:val="16"/>
          <w:lang w:val="es-PY"/>
        </w:rPr>
        <w:t xml:space="preserve"> </w:t>
      </w:r>
      <w:r w:rsidRPr="00576C99">
        <w:rPr>
          <w:rFonts w:ascii="Arial" w:hAnsi="Arial" w:cs="Arial"/>
          <w:sz w:val="12"/>
          <w:szCs w:val="16"/>
          <w:lang w:val="es-PY"/>
        </w:rPr>
        <w:t>En el apartado dedicado al sistema electoral se analizará con más detalle la problemática del calendario electoral y el debate sobre su reforma.</w:t>
      </w:r>
    </w:p>
    <w:p w:rsidR="00144C54" w:rsidRPr="00576C99" w:rsidRDefault="00144C54" w:rsidP="00576C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12"/>
          <w:szCs w:val="16"/>
          <w:lang w:val="es-PY"/>
        </w:rPr>
      </w:pPr>
      <w:r w:rsidRPr="00576C99">
        <w:rPr>
          <w:rFonts w:ascii="Arial" w:hAnsi="Arial" w:cs="Arial"/>
          <w:sz w:val="12"/>
          <w:szCs w:val="16"/>
          <w:lang w:val="es-PY"/>
        </w:rPr>
        <w:t>17 En concreto, el artículo 6 de esta ley expresa que no será proporcionada información “de la situación patrimonial de las personas fuera de los límites</w:t>
      </w:r>
      <w:r w:rsidR="00576C99" w:rsidRPr="00576C99">
        <w:rPr>
          <w:rFonts w:ascii="Arial" w:hAnsi="Arial" w:cs="Arial"/>
          <w:sz w:val="12"/>
          <w:szCs w:val="16"/>
          <w:lang w:val="es-PY"/>
        </w:rPr>
        <w:t xml:space="preserve"> </w:t>
      </w:r>
      <w:r w:rsidRPr="00576C99">
        <w:rPr>
          <w:rFonts w:ascii="Arial" w:hAnsi="Arial" w:cs="Arial"/>
          <w:sz w:val="12"/>
          <w:szCs w:val="16"/>
          <w:lang w:val="es-PY"/>
        </w:rPr>
        <w:t>establecidos por la Ley 1.682 del 16 de enero del 2001 y de los estados financieros de los contribuyentes”. Tampoco será suministrada información</w:t>
      </w:r>
    </w:p>
    <w:p w:rsidR="005A42A3" w:rsidRDefault="00144C54" w:rsidP="005A42A3">
      <w:pPr>
        <w:rPr>
          <w:rFonts w:ascii="Arial" w:hAnsi="Arial" w:cs="Arial"/>
          <w:sz w:val="12"/>
          <w:szCs w:val="16"/>
          <w:lang w:val="es-PY"/>
        </w:rPr>
        <w:sectPr w:rsidR="005A42A3" w:rsidSect="00380D07">
          <w:pgSz w:w="12240" w:h="15840"/>
          <w:pgMar w:top="1440" w:right="1440" w:bottom="1440" w:left="1440" w:header="720" w:footer="720" w:gutter="0"/>
          <w:cols w:space="720"/>
          <w:docGrid w:linePitch="360"/>
        </w:sectPr>
      </w:pPr>
      <w:r w:rsidRPr="00576C99">
        <w:rPr>
          <w:rFonts w:ascii="Arial" w:hAnsi="Arial" w:cs="Arial"/>
          <w:sz w:val="12"/>
          <w:szCs w:val="16"/>
          <w:lang w:val="es-PY"/>
        </w:rPr>
        <w:t>“que se refiera a la investigación de delitos, cuando pueda poner en peligro la protección de los derechos y libertades de terceros o las investigaciones</w:t>
      </w:r>
      <w:r w:rsidR="00576C99" w:rsidRPr="00576C99">
        <w:rPr>
          <w:rFonts w:ascii="Arial" w:hAnsi="Arial" w:cs="Arial"/>
          <w:sz w:val="12"/>
          <w:szCs w:val="16"/>
          <w:lang w:val="es-PY"/>
        </w:rPr>
        <w:t xml:space="preserve"> </w:t>
      </w:r>
      <w:r w:rsidRPr="00576C99">
        <w:rPr>
          <w:rFonts w:ascii="Arial" w:hAnsi="Arial" w:cs="Arial"/>
          <w:sz w:val="12"/>
          <w:szCs w:val="16"/>
          <w:lang w:val="es-PY"/>
        </w:rPr>
        <w:t>en curso, hasta tanto concluyan”. La prohibición afecta también a las “informaciones preliminares sobre conductas de funcionarios o sobre hechos de</w:t>
      </w:r>
      <w:r w:rsidR="00576C99" w:rsidRPr="00576C99">
        <w:rPr>
          <w:rFonts w:ascii="Arial" w:hAnsi="Arial" w:cs="Arial"/>
          <w:sz w:val="12"/>
          <w:szCs w:val="16"/>
          <w:lang w:val="es-PY"/>
        </w:rPr>
        <w:t xml:space="preserve"> </w:t>
      </w:r>
      <w:r w:rsidRPr="00576C99">
        <w:rPr>
          <w:rFonts w:ascii="Arial" w:hAnsi="Arial" w:cs="Arial"/>
          <w:sz w:val="12"/>
          <w:szCs w:val="16"/>
          <w:lang w:val="es-PY"/>
        </w:rPr>
        <w:t>corrupción hasta que concluya la investigación correspondiente”.</w:t>
      </w:r>
      <w:r w:rsidR="005A42A3">
        <w:rPr>
          <w:rFonts w:ascii="Arial" w:hAnsi="Arial" w:cs="Arial"/>
          <w:sz w:val="12"/>
          <w:szCs w:val="16"/>
          <w:lang w:val="es-PY"/>
        </w:rPr>
        <w:t xml:space="preserve"> </w:t>
      </w:r>
      <w:r w:rsidR="005A42A3" w:rsidRPr="00576C99">
        <w:rPr>
          <w:rFonts w:ascii="Arial" w:hAnsi="Arial" w:cs="Arial"/>
          <w:sz w:val="12"/>
          <w:szCs w:val="16"/>
          <w:lang w:val="es-PY"/>
        </w:rPr>
        <w:t>18 Véase Diario ABC Color, ediciones correspondientes a los días 18 de julio, 4 de septiembre y 24 de septiembre de 2001</w:t>
      </w:r>
    </w:p>
    <w:p w:rsidR="00144C54" w:rsidRPr="00576C99" w:rsidRDefault="00144C54" w:rsidP="005A42A3">
      <w:pPr>
        <w:autoSpaceDE w:val="0"/>
        <w:autoSpaceDN w:val="0"/>
        <w:adjustRightInd w:val="0"/>
        <w:spacing w:after="0" w:line="240" w:lineRule="auto"/>
        <w:rPr>
          <w:rFonts w:ascii="Arial" w:hAnsi="Arial" w:cs="Arial"/>
          <w:sz w:val="12"/>
          <w:szCs w:val="16"/>
          <w:lang w:val="es-PY"/>
        </w:rPr>
      </w:pPr>
    </w:p>
    <w:p w:rsidR="005A42A3" w:rsidRDefault="005A42A3" w:rsidP="005A42A3">
      <w:pPr>
        <w:rPr>
          <w:rFonts w:ascii="Arial" w:hAnsi="Arial" w:cs="Arial"/>
          <w:sz w:val="12"/>
          <w:szCs w:val="16"/>
          <w:lang w:val="es-PY"/>
        </w:rPr>
      </w:pPr>
    </w:p>
    <w:p w:rsidR="005A42A3" w:rsidRDefault="005A42A3" w:rsidP="005A42A3">
      <w:pPr>
        <w:rPr>
          <w:rFonts w:ascii="Arial" w:hAnsi="Arial" w:cs="Arial"/>
          <w:sz w:val="12"/>
          <w:szCs w:val="16"/>
          <w:lang w:val="es-PY"/>
        </w:rPr>
      </w:pPr>
    </w:p>
    <w:p w:rsidR="005A42A3" w:rsidRDefault="005A42A3" w:rsidP="005A42A3">
      <w:pPr>
        <w:rPr>
          <w:rFonts w:ascii="Arial" w:hAnsi="Arial" w:cs="Arial"/>
          <w:sz w:val="12"/>
          <w:szCs w:val="16"/>
          <w:lang w:val="es-PY"/>
        </w:rPr>
      </w:pPr>
    </w:p>
    <w:p w:rsidR="005A42A3" w:rsidRDefault="005A42A3" w:rsidP="005A42A3">
      <w:pPr>
        <w:rPr>
          <w:rFonts w:ascii="Arial" w:hAnsi="Arial" w:cs="Arial"/>
          <w:sz w:val="12"/>
          <w:szCs w:val="16"/>
          <w:lang w:val="es-PY"/>
        </w:rPr>
      </w:pPr>
    </w:p>
    <w:p w:rsidR="005A42A3" w:rsidRDefault="005A42A3" w:rsidP="00576C99">
      <w:pPr>
        <w:pBdr>
          <w:top w:val="single" w:sz="4" w:space="1" w:color="auto"/>
          <w:left w:val="single" w:sz="4" w:space="4" w:color="auto"/>
          <w:bottom w:val="single" w:sz="4" w:space="1" w:color="auto"/>
          <w:right w:val="single" w:sz="4" w:space="4" w:color="auto"/>
        </w:pBdr>
        <w:rPr>
          <w:rFonts w:ascii="Arial" w:hAnsi="Arial" w:cs="Arial"/>
          <w:sz w:val="12"/>
          <w:szCs w:val="16"/>
          <w:lang w:val="es-PY"/>
        </w:rPr>
        <w:sectPr w:rsidR="005A42A3" w:rsidSect="00380D07">
          <w:pgSz w:w="12240" w:h="15840"/>
          <w:pgMar w:top="1440" w:right="1440" w:bottom="1440" w:left="1440" w:header="720" w:footer="720" w:gutter="0"/>
          <w:cols w:space="720"/>
          <w:docGrid w:linePitch="360"/>
        </w:sectPr>
      </w:pPr>
    </w:p>
    <w:p w:rsidR="005A42A3" w:rsidRPr="005A42A3" w:rsidRDefault="005A42A3" w:rsidP="005A42A3">
      <w:pPr>
        <w:autoSpaceDE w:val="0"/>
        <w:autoSpaceDN w:val="0"/>
        <w:adjustRightInd w:val="0"/>
        <w:spacing w:after="0" w:line="240" w:lineRule="auto"/>
        <w:rPr>
          <w:rFonts w:ascii="Arial" w:hAnsi="Arial" w:cs="Arial"/>
          <w:b/>
          <w:bCs/>
          <w:color w:val="4C4C4C"/>
          <w:sz w:val="18"/>
          <w:szCs w:val="18"/>
          <w:lang w:val="es-PY"/>
        </w:rPr>
      </w:pPr>
      <w:r w:rsidRPr="005A42A3">
        <w:rPr>
          <w:rFonts w:ascii="Arial" w:hAnsi="Arial" w:cs="Arial"/>
          <w:b/>
          <w:bCs/>
          <w:color w:val="4C4C4C"/>
          <w:sz w:val="18"/>
          <w:szCs w:val="18"/>
          <w:lang w:val="es-PY"/>
        </w:rPr>
        <w:lastRenderedPageBreak/>
        <w:t>3.1.2. Legislación existente</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color w:val="000000"/>
          <w:sz w:val="18"/>
          <w:szCs w:val="18"/>
          <w:lang w:val="es-PY"/>
        </w:rPr>
        <w:t>En cuanto a la legislación vigente en el país, podemos destacar:</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b/>
          <w:bCs/>
          <w:color w:val="000000"/>
          <w:sz w:val="18"/>
          <w:szCs w:val="18"/>
          <w:lang w:val="es-PY"/>
        </w:rPr>
        <w:t xml:space="preserve">· </w:t>
      </w:r>
      <w:r w:rsidRPr="005A42A3">
        <w:rPr>
          <w:rFonts w:ascii="Arial" w:hAnsi="Arial" w:cs="Arial"/>
          <w:color w:val="000000"/>
          <w:sz w:val="18"/>
          <w:szCs w:val="18"/>
          <w:lang w:val="es-PY"/>
        </w:rPr>
        <w:t xml:space="preserve">La Constitución Nacional de 1992, en el </w:t>
      </w:r>
      <w:r w:rsidRPr="00AB7053">
        <w:rPr>
          <w:rFonts w:ascii="Arial" w:hAnsi="Arial" w:cs="Arial"/>
          <w:b/>
          <w:color w:val="000000"/>
          <w:sz w:val="18"/>
          <w:szCs w:val="18"/>
          <w:lang w:val="es-PY"/>
        </w:rPr>
        <w:t>artículo 26</w:t>
      </w:r>
      <w:r w:rsidRPr="005A42A3">
        <w:rPr>
          <w:rFonts w:ascii="Arial" w:hAnsi="Arial" w:cs="Arial"/>
          <w:color w:val="000000"/>
          <w:sz w:val="18"/>
          <w:szCs w:val="18"/>
          <w:lang w:val="es-PY"/>
        </w:rPr>
        <w:t>, reconoce la libertad de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expresión de todos los paraguayos. Indica, además, que “toda persona tiene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derecho a generar, procesar o difundir información, como igualmente a la</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utilización de cualquier instrumento lícito y apto para tales fines”. En el</w:t>
      </w:r>
      <w:r w:rsidR="00AB7053">
        <w:rPr>
          <w:rFonts w:ascii="Arial" w:hAnsi="Arial" w:cs="Arial"/>
          <w:color w:val="000000"/>
          <w:sz w:val="18"/>
          <w:szCs w:val="18"/>
          <w:lang w:val="es-PY"/>
        </w:rPr>
        <w:t xml:space="preserve"> </w:t>
      </w:r>
      <w:r w:rsidRPr="00AB7053">
        <w:rPr>
          <w:rFonts w:ascii="Arial" w:hAnsi="Arial" w:cs="Arial"/>
          <w:b/>
          <w:color w:val="000000"/>
          <w:sz w:val="18"/>
          <w:szCs w:val="18"/>
          <w:lang w:val="es-PY"/>
        </w:rPr>
        <w:t>artículo 27,</w:t>
      </w:r>
      <w:r w:rsidRPr="005A42A3">
        <w:rPr>
          <w:rFonts w:ascii="Arial" w:hAnsi="Arial" w:cs="Arial"/>
          <w:color w:val="000000"/>
          <w:sz w:val="18"/>
          <w:szCs w:val="18"/>
          <w:lang w:val="es-PY"/>
        </w:rPr>
        <w:t xml:space="preserve"> establece que el uso de los medios de comunicación masivos es</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 xml:space="preserve">de interés público y, finalmente, en el </w:t>
      </w:r>
      <w:r w:rsidRPr="00AB7053">
        <w:rPr>
          <w:rFonts w:ascii="Arial" w:hAnsi="Arial" w:cs="Arial"/>
          <w:b/>
          <w:color w:val="000000"/>
          <w:sz w:val="18"/>
          <w:szCs w:val="18"/>
          <w:lang w:val="es-PY"/>
        </w:rPr>
        <w:t>artículo 30</w:t>
      </w:r>
      <w:r w:rsidRPr="005A42A3">
        <w:rPr>
          <w:rFonts w:ascii="Arial" w:hAnsi="Arial" w:cs="Arial"/>
          <w:color w:val="000000"/>
          <w:sz w:val="18"/>
          <w:szCs w:val="18"/>
          <w:lang w:val="es-PY"/>
        </w:rPr>
        <w:t>, dispone “... en igualdad de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oportunidades, el libre acceso al aprovechamiento del espectro</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electromagnético, así como la de los instrumentos electrónicos de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acumulación y procesamiento de información pública, sin más límites que los</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impuestos por las regulaciones internacionales y las normas técnicas”.</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b/>
          <w:bCs/>
          <w:color w:val="000000"/>
          <w:sz w:val="18"/>
          <w:szCs w:val="18"/>
          <w:lang w:val="es-PY"/>
        </w:rPr>
        <w:t xml:space="preserve">· </w:t>
      </w:r>
      <w:r w:rsidRPr="005A42A3">
        <w:rPr>
          <w:rFonts w:ascii="Arial" w:hAnsi="Arial" w:cs="Arial"/>
          <w:color w:val="000000"/>
          <w:sz w:val="18"/>
          <w:szCs w:val="18"/>
          <w:lang w:val="es-PY"/>
        </w:rPr>
        <w:t>En este contexto, debemos señalar que la Ley 642/95 de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Telecomunicaciones, promulgada el 29 de diciembre de 1995, ha</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desarrollado un marco general que permite la regulación del sector de las</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telecomunicaciones. Al efecto, el mencionado instrumento legal ha otorgado</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las competencias estatales para la regulación del sector a la Comisión</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color w:val="000000"/>
          <w:sz w:val="18"/>
          <w:szCs w:val="18"/>
          <w:lang w:val="es-PY"/>
        </w:rPr>
        <w:t>Nacional de Telecomunicaciones – CONATEL -, atribuyéndosele el carácter</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de entidad autárquica con personería jurídica de derecho público. Las</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relaciones de la Comisión Nacional de Telecomunicaciones con el Poder</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color w:val="000000"/>
          <w:sz w:val="18"/>
          <w:szCs w:val="18"/>
          <w:lang w:val="es-PY"/>
        </w:rPr>
        <w:t>Ejecutivo se realizan a través del Ministerio de Obras Públicas y</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Comunicaciones.</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b/>
          <w:bCs/>
          <w:color w:val="000000"/>
          <w:sz w:val="18"/>
          <w:szCs w:val="18"/>
          <w:lang w:val="es-PY"/>
        </w:rPr>
        <w:t xml:space="preserve">· </w:t>
      </w:r>
      <w:r w:rsidRPr="005A42A3">
        <w:rPr>
          <w:rFonts w:ascii="Arial" w:hAnsi="Arial" w:cs="Arial"/>
          <w:color w:val="000000"/>
          <w:sz w:val="18"/>
          <w:szCs w:val="18"/>
          <w:lang w:val="es-PY"/>
        </w:rPr>
        <w:t>En este punto, no podemos obviar la Ley 1028/97 o Ley General de Ciencia</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y Tecnología. Según ella, compete al sistema nacional de ciencia y</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tecnología estimular y promover la investigación científica y tecnológica, la</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generación, difusión y transferencia del conocimiento; la invención, la</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innovación, la educación científica y tecnológica; los servicios de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normalización y aseguramiento de la calidad de los productos, el desarrollo</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de las tecnologías nacionales y la gestión en materia de ciencia y tecnología.</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color w:val="000000"/>
          <w:sz w:val="18"/>
          <w:szCs w:val="18"/>
          <w:lang w:val="es-PY"/>
        </w:rPr>
        <w:t>Por esta misma Ley se constituye el Consejo Nacional de Ciencia y</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 xml:space="preserve">Tecnología </w:t>
      </w:r>
      <w:proofErr w:type="gramStart"/>
      <w:r w:rsidRPr="005A42A3">
        <w:rPr>
          <w:rFonts w:ascii="Arial" w:hAnsi="Arial" w:cs="Arial"/>
          <w:color w:val="000000"/>
          <w:sz w:val="18"/>
          <w:szCs w:val="18"/>
          <w:lang w:val="es-PY"/>
        </w:rPr>
        <w:t>( CONACYT</w:t>
      </w:r>
      <w:proofErr w:type="gramEnd"/>
      <w:r w:rsidRPr="005A42A3">
        <w:rPr>
          <w:rFonts w:ascii="Arial" w:hAnsi="Arial" w:cs="Arial"/>
          <w:color w:val="000000"/>
          <w:sz w:val="18"/>
          <w:szCs w:val="18"/>
          <w:lang w:val="es-PY"/>
        </w:rPr>
        <w:t xml:space="preserve"> ) que se encargará de las tareas de dirección,</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coordinación y evaluación del sistema nacional de ciencia y tecnología. El</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color w:val="000000"/>
          <w:sz w:val="18"/>
          <w:szCs w:val="18"/>
          <w:lang w:val="es-PY"/>
        </w:rPr>
        <w:t>CONACYT queda definido como un organismo público autárquico, de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composición mixta y dependiente de la Presidencia de la República.</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color w:val="000000"/>
          <w:sz w:val="18"/>
          <w:szCs w:val="18"/>
          <w:lang w:val="es-PY"/>
        </w:rPr>
        <w:t>Esta Ley también crea el Fondo Nacional de Ciencia y Tecnología (</w:t>
      </w:r>
      <w:proofErr w:type="gramStart"/>
      <w:r w:rsidRPr="005A42A3">
        <w:rPr>
          <w:rFonts w:ascii="Arial" w:hAnsi="Arial" w:cs="Arial"/>
          <w:color w:val="000000"/>
          <w:sz w:val="18"/>
          <w:szCs w:val="18"/>
          <w:lang w:val="es-PY"/>
        </w:rPr>
        <w:t>FONACYT )</w:t>
      </w:r>
      <w:proofErr w:type="gramEnd"/>
      <w:r w:rsidRPr="005A42A3">
        <w:rPr>
          <w:rFonts w:ascii="Arial" w:hAnsi="Arial" w:cs="Arial"/>
          <w:color w:val="000000"/>
          <w:sz w:val="18"/>
          <w:szCs w:val="18"/>
          <w:lang w:val="es-PY"/>
        </w:rPr>
        <w:t>. Este fondo se destinará al financiamiento de los programas y</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proyectos de investigación científica y tecnológica, a la adaptación de nuevas</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tecnologías y a la difusión de las mismas. Así mismo, se indica que para</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garantizar el financiamiento estable y permanente de las actividades</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científicas y tecnológicas se habilitarán anualmente en el Presupuesto</w:t>
      </w:r>
    </w:p>
    <w:p w:rsidR="005A42A3" w:rsidRPr="005A42A3" w:rsidRDefault="005A42A3" w:rsidP="005A42A3">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color w:val="000000"/>
          <w:sz w:val="18"/>
          <w:szCs w:val="18"/>
          <w:lang w:val="es-PY"/>
        </w:rPr>
        <w:t>General de la Nación las partidas presupuestarias básicas.</w:t>
      </w:r>
    </w:p>
    <w:p w:rsidR="005A42A3" w:rsidRPr="004F7C1A" w:rsidRDefault="005A42A3" w:rsidP="004F7C1A">
      <w:pPr>
        <w:autoSpaceDE w:val="0"/>
        <w:autoSpaceDN w:val="0"/>
        <w:adjustRightInd w:val="0"/>
        <w:spacing w:after="0" w:line="240" w:lineRule="auto"/>
        <w:rPr>
          <w:rFonts w:ascii="Arial" w:hAnsi="Arial" w:cs="Arial"/>
          <w:color w:val="000000"/>
          <w:sz w:val="18"/>
          <w:szCs w:val="18"/>
          <w:lang w:val="es-PY"/>
        </w:rPr>
      </w:pPr>
      <w:r w:rsidRPr="005A42A3">
        <w:rPr>
          <w:rFonts w:ascii="Arial" w:hAnsi="Arial" w:cs="Arial"/>
          <w:b/>
          <w:bCs/>
          <w:color w:val="000000"/>
          <w:sz w:val="18"/>
          <w:szCs w:val="18"/>
          <w:lang w:val="es-PY"/>
        </w:rPr>
        <w:t xml:space="preserve">· </w:t>
      </w:r>
      <w:r w:rsidRPr="005A42A3">
        <w:rPr>
          <w:rFonts w:ascii="Arial" w:hAnsi="Arial" w:cs="Arial"/>
          <w:color w:val="000000"/>
          <w:sz w:val="18"/>
          <w:szCs w:val="18"/>
          <w:lang w:val="es-PY"/>
        </w:rPr>
        <w:t>En lo que respecta al Código Penal vigente, éste incorpora nuevas</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modalidades de</w:t>
      </w:r>
      <w:r w:rsidR="004F7C1A">
        <w:rPr>
          <w:rFonts w:ascii="Arial" w:hAnsi="Arial" w:cs="Arial"/>
          <w:color w:val="000000"/>
          <w:sz w:val="18"/>
          <w:szCs w:val="18"/>
          <w:lang w:val="es-PY"/>
        </w:rPr>
        <w:t xml:space="preserve">lictivas en la tutela de bienes </w:t>
      </w:r>
      <w:r w:rsidRPr="005A42A3">
        <w:rPr>
          <w:rFonts w:ascii="Arial" w:hAnsi="Arial" w:cs="Arial"/>
          <w:color w:val="000000"/>
          <w:sz w:val="18"/>
          <w:szCs w:val="18"/>
          <w:lang w:val="es-PY"/>
        </w:rPr>
        <w:t>jurídicos, no consideradas en el</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anterior código. Se tipifican hechos punibles cometidos por medio de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tecnologías avanzadas y fundamentalmente a través de la utilización de</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medios informáticos. Concretamente, sanciona hechos punibles cometidos</w:t>
      </w:r>
      <w:r w:rsidR="004F7C1A">
        <w:rPr>
          <w:rFonts w:ascii="Arial" w:hAnsi="Arial" w:cs="Arial"/>
          <w:color w:val="000000"/>
          <w:sz w:val="18"/>
          <w:szCs w:val="18"/>
          <w:lang w:val="es-PY"/>
        </w:rPr>
        <w:t xml:space="preserve"> </w:t>
      </w:r>
      <w:r w:rsidRPr="005A42A3">
        <w:rPr>
          <w:rFonts w:ascii="Arial" w:hAnsi="Arial" w:cs="Arial"/>
          <w:color w:val="000000"/>
          <w:sz w:val="18"/>
          <w:szCs w:val="18"/>
          <w:lang w:val="es-PY"/>
        </w:rPr>
        <w:t xml:space="preserve">con computadoras, entre otros </w:t>
      </w:r>
      <w:proofErr w:type="gramStart"/>
      <w:r w:rsidRPr="005A42A3">
        <w:rPr>
          <w:rFonts w:ascii="Arial" w:hAnsi="Arial" w:cs="Arial"/>
          <w:color w:val="000000"/>
          <w:sz w:val="18"/>
          <w:szCs w:val="18"/>
          <w:lang w:val="es-PY"/>
        </w:rPr>
        <w:t xml:space="preserve">( </w:t>
      </w:r>
      <w:proofErr w:type="spellStart"/>
      <w:r w:rsidRPr="005A42A3">
        <w:rPr>
          <w:rFonts w:ascii="Arial" w:hAnsi="Arial" w:cs="Arial"/>
          <w:color w:val="000000"/>
          <w:sz w:val="18"/>
          <w:szCs w:val="18"/>
          <w:lang w:val="es-PY"/>
        </w:rPr>
        <w:t>Kemper</w:t>
      </w:r>
      <w:proofErr w:type="spellEnd"/>
      <w:proofErr w:type="gramEnd"/>
      <w:r w:rsidRPr="005A42A3">
        <w:rPr>
          <w:rFonts w:ascii="Arial" w:hAnsi="Arial" w:cs="Arial"/>
          <w:color w:val="000000"/>
          <w:sz w:val="18"/>
          <w:szCs w:val="18"/>
          <w:lang w:val="es-PY"/>
        </w:rPr>
        <w:t>, 1998 ).</w:t>
      </w:r>
    </w:p>
    <w:sectPr w:rsidR="005A42A3" w:rsidRPr="004F7C1A" w:rsidSect="005A42A3">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144C54"/>
    <w:rsid w:val="00144C54"/>
    <w:rsid w:val="00380D07"/>
    <w:rsid w:val="004F7C1A"/>
    <w:rsid w:val="00576C99"/>
    <w:rsid w:val="005A42A3"/>
    <w:rsid w:val="007C37CA"/>
    <w:rsid w:val="00AB7053"/>
    <w:rsid w:val="00B86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D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1237</Words>
  <Characters>7054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2009-12-03T12:49:00Z</dcterms:created>
  <dcterms:modified xsi:type="dcterms:W3CDTF">2009-12-03T15:09:00Z</dcterms:modified>
</cp:coreProperties>
</file>